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B668A"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B668A"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11D3E58A" w:rsidR="009C2829" w:rsidRPr="000257FB" w:rsidRDefault="00F0562E" w:rsidP="00516278">
            <w:pPr>
              <w:pStyle w:val="Header"/>
              <w:jc w:val="center"/>
              <w:rPr>
                <w:rFonts w:asciiTheme="majorHAnsi" w:hAnsiTheme="majorHAnsi"/>
                <w:b/>
              </w:rPr>
            </w:pPr>
            <w:r>
              <w:rPr>
                <w:rFonts w:asciiTheme="majorHAnsi" w:hAnsiTheme="majorHAnsi"/>
                <w:b/>
                <w:sz w:val="22"/>
              </w:rPr>
              <w:t xml:space="preserve">June </w:t>
            </w:r>
            <w:r w:rsidR="00516278">
              <w:rPr>
                <w:rFonts w:asciiTheme="majorHAnsi" w:hAnsiTheme="majorHAnsi"/>
                <w:b/>
                <w:sz w:val="22"/>
              </w:rPr>
              <w:t>8</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6D4C80D4" w14:textId="61488719" w:rsidR="009B668A" w:rsidRPr="009B668A" w:rsidRDefault="009B668A" w:rsidP="009B668A">
            <w:pPr>
              <w:rPr>
                <w:rFonts w:ascii="Calibri Light" w:hAnsi="Calibri Light"/>
                <w:b/>
                <w:noProof/>
                <w:sz w:val="20"/>
              </w:rPr>
            </w:pPr>
            <w:r w:rsidRPr="009B668A">
              <w:rPr>
                <w:rFonts w:ascii="Calibri Light" w:hAnsi="Calibri Light"/>
                <w:b/>
                <w:noProof/>
                <w:sz w:val="20"/>
              </w:rPr>
              <w:t>OCS</w:t>
            </w:r>
          </w:p>
          <w:p w14:paraId="63C0AD19" w14:textId="2AF72E71" w:rsidR="009B668A" w:rsidRPr="009B668A" w:rsidRDefault="009B668A" w:rsidP="009B668A">
            <w:pPr>
              <w:rPr>
                <w:rFonts w:ascii="Calibri Light" w:hAnsi="Calibri Light"/>
                <w:noProof/>
                <w:sz w:val="20"/>
              </w:rPr>
            </w:pPr>
            <w:r w:rsidRPr="009B668A">
              <w:rPr>
                <w:rFonts w:ascii="Calibri Light" w:hAnsi="Calibri Light"/>
                <w:noProof/>
                <w:sz w:val="20"/>
              </w:rPr>
              <w:t xml:space="preserve">Association of Standardized Patient Educators annual meeting </w:t>
            </w:r>
          </w:p>
          <w:p w14:paraId="71BD76B7" w14:textId="77777777" w:rsidR="009B668A" w:rsidRPr="009B668A" w:rsidRDefault="009B668A" w:rsidP="009B668A">
            <w:pPr>
              <w:rPr>
                <w:rFonts w:ascii="Calibri Light" w:hAnsi="Calibri Light"/>
                <w:noProof/>
                <w:sz w:val="20"/>
              </w:rPr>
            </w:pPr>
          </w:p>
          <w:p w14:paraId="0C803422" w14:textId="4AD5ECB8" w:rsidR="009B668A" w:rsidRPr="009B668A" w:rsidRDefault="009B668A" w:rsidP="009B668A">
            <w:pPr>
              <w:rPr>
                <w:rFonts w:ascii="Calibri Light" w:hAnsi="Calibri Light"/>
                <w:noProof/>
                <w:sz w:val="20"/>
              </w:rPr>
            </w:pPr>
            <w:r>
              <w:rPr>
                <w:rFonts w:ascii="Calibri Light" w:hAnsi="Calibri Light"/>
                <w:noProof/>
                <w:sz w:val="20"/>
              </w:rPr>
              <w:t>Presentations</w:t>
            </w:r>
          </w:p>
          <w:p w14:paraId="2D5CB453" w14:textId="77777777" w:rsidR="009B668A" w:rsidRPr="009B668A" w:rsidRDefault="009B668A" w:rsidP="009B668A">
            <w:pPr>
              <w:rPr>
                <w:rFonts w:ascii="Calibri Light" w:hAnsi="Calibri Light"/>
                <w:noProof/>
                <w:sz w:val="20"/>
              </w:rPr>
            </w:pPr>
            <w:r w:rsidRPr="009B668A">
              <w:rPr>
                <w:rFonts w:ascii="Calibri Light" w:hAnsi="Calibri Light"/>
                <w:noProof/>
                <w:sz w:val="20"/>
              </w:rPr>
              <w:t>Oral Presentation: Introducing Patients with a Disability into an SP-based Clinical Skills Assessment ( Darlene Self)</w:t>
            </w:r>
          </w:p>
          <w:p w14:paraId="587EA1ED" w14:textId="77777777" w:rsidR="009B668A" w:rsidRPr="009B668A" w:rsidRDefault="009B668A" w:rsidP="009B668A">
            <w:pPr>
              <w:rPr>
                <w:rFonts w:ascii="Calibri Light" w:hAnsi="Calibri Light"/>
                <w:noProof/>
                <w:sz w:val="20"/>
              </w:rPr>
            </w:pPr>
          </w:p>
          <w:p w14:paraId="51961073" w14:textId="6A052A55" w:rsidR="009B668A" w:rsidRDefault="009B668A" w:rsidP="009B668A">
            <w:pPr>
              <w:rPr>
                <w:rFonts w:ascii="Calibri Light" w:hAnsi="Calibri Light"/>
                <w:noProof/>
                <w:sz w:val="20"/>
              </w:rPr>
            </w:pPr>
            <w:r w:rsidRPr="009B668A">
              <w:rPr>
                <w:rFonts w:ascii="Calibri Light" w:hAnsi="Calibri Light"/>
                <w:noProof/>
                <w:sz w:val="20"/>
              </w:rPr>
              <w:t>Pre-conference</w:t>
            </w:r>
            <w:r>
              <w:rPr>
                <w:rFonts w:ascii="Calibri Light" w:hAnsi="Calibri Light"/>
                <w:noProof/>
                <w:sz w:val="20"/>
              </w:rPr>
              <w:t xml:space="preserve"> workshop</w:t>
            </w:r>
            <w:r w:rsidRPr="009B668A">
              <w:rPr>
                <w:rFonts w:ascii="Calibri Light" w:hAnsi="Calibri Light"/>
                <w:noProof/>
                <w:sz w:val="20"/>
              </w:rPr>
              <w:t xml:space="preserve">  </w:t>
            </w:r>
          </w:p>
          <w:p w14:paraId="0D16EFC5" w14:textId="0501F462" w:rsidR="009B668A" w:rsidRPr="009B668A" w:rsidRDefault="009B668A" w:rsidP="009B668A">
            <w:pPr>
              <w:rPr>
                <w:rFonts w:ascii="Calibri Light" w:hAnsi="Calibri Light"/>
                <w:noProof/>
                <w:sz w:val="20"/>
              </w:rPr>
            </w:pPr>
            <w:r w:rsidRPr="009B668A">
              <w:rPr>
                <w:rFonts w:ascii="Calibri Light" w:hAnsi="Calibri Light"/>
                <w:noProof/>
                <w:sz w:val="20"/>
              </w:rPr>
              <w:t>Checklist Construction: Developing Measurement Tools   (Karen Szauter)</w:t>
            </w:r>
          </w:p>
          <w:p w14:paraId="43F916E8" w14:textId="77777777" w:rsidR="009B668A" w:rsidRPr="009B668A" w:rsidRDefault="009B668A" w:rsidP="009B668A">
            <w:pPr>
              <w:rPr>
                <w:rFonts w:ascii="Calibri Light" w:hAnsi="Calibri Light"/>
                <w:noProof/>
                <w:sz w:val="20"/>
              </w:rPr>
            </w:pPr>
          </w:p>
          <w:p w14:paraId="6DE8F863" w14:textId="24C7B102" w:rsidR="009B668A" w:rsidRDefault="009B668A" w:rsidP="009B668A">
            <w:pPr>
              <w:rPr>
                <w:rFonts w:ascii="Calibri Light" w:hAnsi="Calibri Light"/>
                <w:noProof/>
                <w:sz w:val="20"/>
              </w:rPr>
            </w:pPr>
            <w:r>
              <w:rPr>
                <w:rFonts w:ascii="Calibri Light" w:hAnsi="Calibri Light"/>
                <w:noProof/>
                <w:sz w:val="20"/>
              </w:rPr>
              <w:t>Presentation</w:t>
            </w:r>
          </w:p>
          <w:p w14:paraId="45F0A0EA" w14:textId="1D8DDFA2" w:rsidR="009B668A" w:rsidRPr="009B668A" w:rsidRDefault="009B668A" w:rsidP="009B668A">
            <w:pPr>
              <w:rPr>
                <w:rFonts w:ascii="Calibri Light" w:hAnsi="Calibri Light"/>
                <w:noProof/>
                <w:sz w:val="20"/>
              </w:rPr>
            </w:pPr>
            <w:r w:rsidRPr="009B668A">
              <w:rPr>
                <w:rFonts w:ascii="Calibri Light" w:hAnsi="Calibri Light"/>
                <w:noProof/>
                <w:sz w:val="20"/>
              </w:rPr>
              <w:t>Review of the 2016 Literature using SP Methodology   (Karen Szauter)</w:t>
            </w:r>
          </w:p>
          <w:p w14:paraId="3B5A1AA8" w14:textId="77777777" w:rsidR="009B668A" w:rsidRPr="009B668A" w:rsidRDefault="009B668A" w:rsidP="009B668A">
            <w:pPr>
              <w:rPr>
                <w:rFonts w:ascii="Calibri Light" w:hAnsi="Calibri Light"/>
                <w:noProof/>
                <w:sz w:val="20"/>
              </w:rPr>
            </w:pPr>
          </w:p>
          <w:p w14:paraId="1BDE5D9D" w14:textId="4A6724C2" w:rsidR="009B668A" w:rsidRDefault="009B668A" w:rsidP="009B668A">
            <w:pPr>
              <w:rPr>
                <w:rFonts w:ascii="Calibri Light" w:hAnsi="Calibri Light"/>
                <w:noProof/>
                <w:sz w:val="20"/>
              </w:rPr>
            </w:pPr>
            <w:r w:rsidRPr="009B668A">
              <w:rPr>
                <w:rFonts w:ascii="Calibri Light" w:hAnsi="Calibri Light"/>
                <w:noProof/>
                <w:sz w:val="20"/>
              </w:rPr>
              <w:t xml:space="preserve">Workshop </w:t>
            </w:r>
          </w:p>
          <w:p w14:paraId="0ABD7D38" w14:textId="3CBA193E" w:rsidR="009B668A" w:rsidRDefault="009B668A" w:rsidP="009B668A">
            <w:pPr>
              <w:rPr>
                <w:rFonts w:ascii="Calibri Light" w:hAnsi="Calibri Light"/>
                <w:noProof/>
                <w:sz w:val="20"/>
              </w:rPr>
            </w:pPr>
            <w:r w:rsidRPr="009B668A">
              <w:rPr>
                <w:rFonts w:ascii="Calibri Light" w:hAnsi="Calibri Light"/>
                <w:noProof/>
                <w:sz w:val="20"/>
              </w:rPr>
              <w:t>Writing High Quality Abstracts (Szauter)</w:t>
            </w:r>
          </w:p>
          <w:p w14:paraId="71F9FA05" w14:textId="77777777" w:rsidR="009B668A" w:rsidRDefault="009B668A" w:rsidP="009B668A">
            <w:pPr>
              <w:rPr>
                <w:rFonts w:ascii="Calibri Light" w:hAnsi="Calibri Light"/>
                <w:noProof/>
                <w:sz w:val="20"/>
              </w:rPr>
            </w:pPr>
          </w:p>
          <w:p w14:paraId="36F8C1EE" w14:textId="77777777" w:rsidR="009B668A" w:rsidRDefault="009B668A" w:rsidP="009B668A">
            <w:pPr>
              <w:rPr>
                <w:rFonts w:ascii="Calibri Light" w:hAnsi="Calibri Light"/>
                <w:b/>
                <w:noProof/>
                <w:sz w:val="20"/>
              </w:rPr>
            </w:pPr>
          </w:p>
          <w:p w14:paraId="0C9A029B" w14:textId="77777777" w:rsidR="009B668A" w:rsidRPr="009B668A" w:rsidRDefault="009B668A" w:rsidP="009B668A">
            <w:pPr>
              <w:rPr>
                <w:rFonts w:ascii="Calibri Light" w:hAnsi="Calibri Light"/>
                <w:b/>
                <w:noProof/>
                <w:sz w:val="20"/>
              </w:rPr>
            </w:pPr>
            <w:bookmarkStart w:id="0" w:name="_GoBack"/>
            <w:bookmarkEnd w:id="0"/>
            <w:r w:rsidRPr="009B668A">
              <w:rPr>
                <w:rFonts w:ascii="Calibri Light" w:hAnsi="Calibri Light"/>
                <w:b/>
                <w:noProof/>
                <w:sz w:val="20"/>
              </w:rPr>
              <w:t>OCE</w:t>
            </w:r>
          </w:p>
          <w:p w14:paraId="17000868" w14:textId="77777777" w:rsidR="009B668A" w:rsidRPr="009B668A" w:rsidRDefault="009B668A" w:rsidP="009B668A">
            <w:pPr>
              <w:rPr>
                <w:rFonts w:ascii="Calibri Light" w:hAnsi="Calibri Light"/>
                <w:noProof/>
                <w:sz w:val="20"/>
              </w:rPr>
            </w:pPr>
            <w:r w:rsidRPr="009B668A">
              <w:rPr>
                <w:rFonts w:ascii="Calibri Light" w:hAnsi="Calibri Light"/>
                <w:noProof/>
                <w:sz w:val="20"/>
              </w:rPr>
              <w:t>The Office of Clinical Education will host Clinical Skills Week for all rising 3rd year students from June 26 - June 29, 2017.</w:t>
            </w:r>
          </w:p>
          <w:p w14:paraId="63FC4DFB" w14:textId="77777777" w:rsidR="009B668A" w:rsidRPr="009B668A" w:rsidRDefault="009B668A" w:rsidP="009B668A">
            <w:pPr>
              <w:rPr>
                <w:rFonts w:ascii="Calibri Light" w:hAnsi="Calibri Light"/>
                <w:noProof/>
                <w:sz w:val="20"/>
              </w:rPr>
            </w:pPr>
          </w:p>
          <w:p w14:paraId="0B62AFBB" w14:textId="77777777" w:rsidR="009B668A" w:rsidRDefault="009B668A" w:rsidP="009B668A">
            <w:pPr>
              <w:rPr>
                <w:rFonts w:ascii="Calibri Light" w:hAnsi="Calibri Light"/>
                <w:b/>
                <w:noProof/>
                <w:sz w:val="20"/>
              </w:rPr>
            </w:pPr>
          </w:p>
          <w:p w14:paraId="1DF97FF7" w14:textId="77777777" w:rsidR="009B668A" w:rsidRDefault="009B668A" w:rsidP="009B668A">
            <w:pPr>
              <w:rPr>
                <w:rFonts w:ascii="Calibri Light" w:hAnsi="Calibri Light"/>
                <w:b/>
                <w:noProof/>
                <w:sz w:val="20"/>
              </w:rPr>
            </w:pPr>
            <w:r>
              <w:rPr>
                <w:rFonts w:ascii="Calibri Light" w:hAnsi="Calibri Light"/>
                <w:b/>
                <w:noProof/>
                <w:sz w:val="20"/>
              </w:rPr>
              <w:t>OEA</w:t>
            </w:r>
          </w:p>
          <w:p w14:paraId="6615868C" w14:textId="1CE4B254" w:rsidR="009B668A" w:rsidRDefault="009B668A" w:rsidP="009B668A">
            <w:pPr>
              <w:rPr>
                <w:rFonts w:ascii="Calibri Light" w:hAnsi="Calibri Light"/>
                <w:noProof/>
                <w:sz w:val="20"/>
              </w:rPr>
            </w:pPr>
            <w:r>
              <w:rPr>
                <w:rFonts w:ascii="Calibri Light" w:hAnsi="Calibri Light"/>
                <w:noProof/>
                <w:sz w:val="20"/>
              </w:rPr>
              <w:t xml:space="preserve">Please join us in congratulating these SCOPE students on their successful scholarship! </w:t>
            </w:r>
          </w:p>
          <w:p w14:paraId="623AEDA3" w14:textId="77777777" w:rsidR="009B668A" w:rsidRDefault="009B668A" w:rsidP="009B668A">
            <w:pPr>
              <w:rPr>
                <w:rFonts w:ascii="Calibri Light" w:hAnsi="Calibri Light"/>
                <w:noProof/>
                <w:sz w:val="20"/>
              </w:rPr>
            </w:pPr>
          </w:p>
          <w:p w14:paraId="6F0E0258" w14:textId="77777777" w:rsidR="009B668A" w:rsidRPr="009B668A" w:rsidRDefault="009B668A" w:rsidP="009B668A">
            <w:pPr>
              <w:rPr>
                <w:rFonts w:ascii="Calibri Light" w:hAnsi="Calibri Light"/>
                <w:noProof/>
                <w:sz w:val="20"/>
              </w:rPr>
            </w:pPr>
            <w:r w:rsidRPr="009B668A">
              <w:rPr>
                <w:rFonts w:ascii="Calibri Light" w:hAnsi="Calibri Light"/>
                <w:noProof/>
                <w:sz w:val="20"/>
              </w:rPr>
              <w:t>"Improving Rates of Diabetic Foot Inspections to Prevent Complications: UTMB Family Medicine Quality Improvement Project" </w:t>
            </w:r>
          </w:p>
          <w:p w14:paraId="077CE53B" w14:textId="77777777" w:rsidR="009B668A" w:rsidRPr="009B668A" w:rsidRDefault="009B668A" w:rsidP="009B668A">
            <w:pPr>
              <w:rPr>
                <w:rFonts w:ascii="Calibri Light" w:hAnsi="Calibri Light"/>
                <w:noProof/>
                <w:sz w:val="20"/>
              </w:rPr>
            </w:pPr>
            <w:r w:rsidRPr="009B668A">
              <w:rPr>
                <w:rFonts w:ascii="Calibri Light" w:hAnsi="Calibri Light"/>
                <w:noProof/>
                <w:sz w:val="20"/>
              </w:rPr>
              <w:t>Zachary Ashmore BBA; Christian Alch BS; Carolyn Coyle BS; Thomas Johnson BS; Catherine Kingry BA; Rukayat Okunnu BS; Cole Short MA, NREMT; Daniel Jupiter PhD; Jamal Islam MD</w:t>
            </w:r>
          </w:p>
          <w:p w14:paraId="5D72B444" w14:textId="77777777" w:rsidR="009B668A" w:rsidRPr="009B668A" w:rsidRDefault="009B668A" w:rsidP="009B668A">
            <w:pPr>
              <w:rPr>
                <w:rFonts w:ascii="Calibri Light" w:hAnsi="Calibri Light"/>
                <w:noProof/>
                <w:sz w:val="20"/>
              </w:rPr>
            </w:pPr>
          </w:p>
          <w:p w14:paraId="147A7883" w14:textId="77777777" w:rsidR="009B668A" w:rsidRPr="009B668A" w:rsidRDefault="009B668A" w:rsidP="009B668A">
            <w:pPr>
              <w:rPr>
                <w:rFonts w:ascii="Calibri Light" w:hAnsi="Calibri Light"/>
                <w:noProof/>
                <w:sz w:val="20"/>
              </w:rPr>
            </w:pPr>
            <w:r w:rsidRPr="009B668A">
              <w:rPr>
                <w:rFonts w:ascii="Calibri Light" w:hAnsi="Calibri Light"/>
                <w:noProof/>
                <w:sz w:val="20"/>
              </w:rPr>
              <w:t>Presented at:</w:t>
            </w:r>
          </w:p>
          <w:p w14:paraId="396DEAF8" w14:textId="77777777" w:rsidR="009B668A" w:rsidRPr="009B668A" w:rsidRDefault="009B668A" w:rsidP="009B668A">
            <w:pPr>
              <w:rPr>
                <w:rFonts w:ascii="Calibri Light" w:hAnsi="Calibri Light"/>
                <w:noProof/>
                <w:sz w:val="20"/>
              </w:rPr>
            </w:pPr>
            <w:r w:rsidRPr="009B668A">
              <w:rPr>
                <w:rFonts w:ascii="Calibri Light" w:hAnsi="Calibri Light"/>
                <w:noProof/>
                <w:sz w:val="20"/>
              </w:rPr>
              <w:t>American Diabetes Association Clinical Conference</w:t>
            </w:r>
          </w:p>
          <w:p w14:paraId="48DBFA78" w14:textId="77777777" w:rsidR="009B668A" w:rsidRPr="009B668A" w:rsidRDefault="009B668A" w:rsidP="009B668A">
            <w:pPr>
              <w:rPr>
                <w:rFonts w:ascii="Calibri Light" w:hAnsi="Calibri Light"/>
                <w:noProof/>
                <w:sz w:val="20"/>
              </w:rPr>
            </w:pPr>
            <w:r w:rsidRPr="009B668A">
              <w:rPr>
                <w:rFonts w:ascii="Calibri Light" w:hAnsi="Calibri Light"/>
                <w:noProof/>
                <w:sz w:val="20"/>
              </w:rPr>
              <w:t>Orlando, FL</w:t>
            </w:r>
          </w:p>
          <w:p w14:paraId="3A24A749" w14:textId="77777777" w:rsidR="009B668A" w:rsidRDefault="009B668A" w:rsidP="009B668A">
            <w:pPr>
              <w:rPr>
                <w:rFonts w:ascii="Calibri Light" w:hAnsi="Calibri Light"/>
                <w:noProof/>
                <w:sz w:val="20"/>
              </w:rPr>
            </w:pPr>
            <w:r w:rsidRPr="009B668A">
              <w:rPr>
                <w:rFonts w:ascii="Calibri Light" w:hAnsi="Calibri Light"/>
                <w:noProof/>
                <w:sz w:val="20"/>
              </w:rPr>
              <w:t>May 25-28, 2017</w:t>
            </w:r>
          </w:p>
          <w:p w14:paraId="751BA259" w14:textId="77777777" w:rsidR="009B668A" w:rsidRDefault="009B668A" w:rsidP="009B668A">
            <w:pPr>
              <w:rPr>
                <w:rFonts w:ascii="Calibri Light" w:hAnsi="Calibri Light"/>
                <w:noProof/>
                <w:sz w:val="20"/>
              </w:rPr>
            </w:pPr>
          </w:p>
          <w:p w14:paraId="7D628826" w14:textId="77777777" w:rsidR="009B668A" w:rsidRPr="009B668A" w:rsidRDefault="009B668A" w:rsidP="009B668A">
            <w:pPr>
              <w:rPr>
                <w:rFonts w:ascii="Calibri Light" w:hAnsi="Calibri Light"/>
                <w:noProof/>
                <w:sz w:val="20"/>
              </w:rPr>
            </w:pPr>
            <w:r>
              <w:rPr>
                <w:rFonts w:ascii="Calibri Light" w:hAnsi="Calibri Light"/>
                <w:noProof/>
                <w:sz w:val="20"/>
              </w:rPr>
              <w:t xml:space="preserve">Their poster also was presented locally at the National Student Research Forum and the UTMB Internal Medicine Quality Improvement Conference and </w:t>
            </w:r>
            <w:r w:rsidRPr="009B668A">
              <w:rPr>
                <w:rFonts w:ascii="Calibri Light" w:hAnsi="Calibri Light"/>
                <w:noProof/>
                <w:sz w:val="20"/>
              </w:rPr>
              <w:t>won Best Family Med/ Patient Centered Medical Home poster and Best Public Health poster at NSRF conference at UTMB.</w:t>
            </w:r>
          </w:p>
          <w:p w14:paraId="403030C2" w14:textId="43C475EF" w:rsidR="009B668A" w:rsidRPr="009B668A" w:rsidRDefault="009B668A" w:rsidP="009B668A">
            <w:pPr>
              <w:rPr>
                <w:rFonts w:ascii="Calibri Light" w:hAnsi="Calibri Light"/>
                <w:noProof/>
                <w:sz w:val="20"/>
              </w:rPr>
            </w:pPr>
          </w:p>
          <w:p w14:paraId="4E4E190F" w14:textId="77777777" w:rsidR="009B668A" w:rsidRDefault="009B668A" w:rsidP="009B668A">
            <w:pPr>
              <w:rPr>
                <w:rFonts w:ascii="Calibri Light" w:hAnsi="Calibri Light"/>
                <w:noProof/>
                <w:sz w:val="20"/>
              </w:rPr>
            </w:pPr>
          </w:p>
          <w:p w14:paraId="07AEDACF" w14:textId="288DE1A0" w:rsidR="009B668A" w:rsidRPr="009B668A" w:rsidRDefault="009B668A" w:rsidP="009B668A">
            <w:pPr>
              <w:rPr>
                <w:rFonts w:ascii="Calibri Light" w:hAnsi="Calibri Light"/>
                <w:noProof/>
                <w:sz w:val="20"/>
              </w:rPr>
            </w:pPr>
            <w:r>
              <w:rPr>
                <w:rFonts w:ascii="Calibri Light" w:hAnsi="Calibri Light"/>
                <w:noProof/>
                <w:sz w:val="20"/>
              </w:rPr>
              <w:t xml:space="preserve"> </w:t>
            </w:r>
          </w:p>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3DD9C28C" w14:textId="432B8EDA" w:rsidR="0008142C" w:rsidRDefault="00516278" w:rsidP="0008142C">
            <w:pPr>
              <w:rPr>
                <w:rFonts w:asciiTheme="majorHAnsi" w:hAnsiTheme="majorHAnsi" w:cs="Arial"/>
                <w:b/>
                <w:bCs/>
                <w:spacing w:val="-2"/>
                <w:szCs w:val="20"/>
              </w:rPr>
            </w:pPr>
            <w:r>
              <w:rPr>
                <w:rFonts w:asciiTheme="majorHAnsi" w:hAnsiTheme="majorHAnsi" w:cs="Arial"/>
                <w:b/>
                <w:bCs/>
                <w:spacing w:val="-2"/>
                <w:szCs w:val="20"/>
              </w:rPr>
              <w:t>Transit website offers updated commuting, transportation options</w:t>
            </w:r>
            <w:r w:rsidR="0008142C">
              <w:rPr>
                <w:rFonts w:asciiTheme="majorHAnsi" w:hAnsiTheme="majorHAnsi" w:cs="Arial"/>
                <w:b/>
                <w:bCs/>
                <w:spacing w:val="-2"/>
                <w:szCs w:val="20"/>
              </w:rPr>
              <w:t>:</w:t>
            </w:r>
          </w:p>
          <w:p w14:paraId="43F25E86" w14:textId="033A4792" w:rsidR="00516278" w:rsidRPr="00516278" w:rsidRDefault="00516278" w:rsidP="00516278">
            <w:pPr>
              <w:widowControl w:val="0"/>
              <w:autoSpaceDE w:val="0"/>
              <w:autoSpaceDN w:val="0"/>
              <w:adjustRightInd w:val="0"/>
              <w:rPr>
                <w:rFonts w:ascii="Calibri Light" w:hAnsi="Calibri Light" w:cs="Calibri"/>
                <w:sz w:val="21"/>
                <w:szCs w:val="21"/>
              </w:rPr>
            </w:pPr>
            <w:r w:rsidRPr="00516278">
              <w:rPr>
                <w:rFonts w:ascii="Calibri Light" w:hAnsi="Calibri Light" w:cs="Arial"/>
                <w:sz w:val="21"/>
                <w:szCs w:val="21"/>
              </w:rPr>
              <w:t>As one of the largest employers in the region, a place of learning and a regional provider of health care, UTMB understands its role in supporting initiatives that reduce traffic congestion and stress, save money, help the environment and provide solutions for those without personal transportation. A newly updated website lists information and options related to park and ride service, van pooling, the UTMB Galveston shuttle lot, public transit and parking. Visit the website at </w:t>
            </w:r>
            <w:hyperlink r:id="rId13" w:history="1">
              <w:r w:rsidRPr="00D078F8">
                <w:rPr>
                  <w:rFonts w:ascii="Calibri Light" w:hAnsi="Calibri Light" w:cs="Arial"/>
                  <w:color w:val="FF0000"/>
                  <w:sz w:val="21"/>
                  <w:szCs w:val="21"/>
                  <w:u w:val="single" w:color="813B5F"/>
                </w:rPr>
                <w:t>www.utmb.edu/transit</w:t>
              </w:r>
            </w:hyperlink>
            <w:r w:rsidRPr="00516278">
              <w:rPr>
                <w:rFonts w:ascii="Calibri Light" w:hAnsi="Calibri Light" w:cs="Arial"/>
                <w:color w:val="0B5AB2"/>
                <w:sz w:val="21"/>
                <w:szCs w:val="21"/>
              </w:rPr>
              <w:t>.</w:t>
            </w:r>
          </w:p>
          <w:p w14:paraId="5AEFCB73" w14:textId="77777777" w:rsidR="00C30B6C" w:rsidRDefault="00C30B6C" w:rsidP="00C30B6C">
            <w:pPr>
              <w:widowControl w:val="0"/>
              <w:autoSpaceDE w:val="0"/>
              <w:autoSpaceDN w:val="0"/>
              <w:adjustRightInd w:val="0"/>
              <w:rPr>
                <w:rFonts w:ascii="Calibri Light" w:hAnsi="Calibri Light" w:cs="Calibri"/>
                <w:sz w:val="21"/>
                <w:szCs w:val="21"/>
              </w:rPr>
            </w:pPr>
          </w:p>
          <w:p w14:paraId="3C5CDFA2" w14:textId="136F392B" w:rsidR="00C30B6C" w:rsidRPr="005D163A" w:rsidRDefault="00516278"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School of Medicine commencement</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05509F4E" w14:textId="2CF0E749" w:rsidR="005637B8" w:rsidRPr="00516278" w:rsidRDefault="00516278" w:rsidP="00C30B6C">
            <w:pPr>
              <w:widowControl w:val="0"/>
              <w:autoSpaceDE w:val="0"/>
              <w:autoSpaceDN w:val="0"/>
              <w:adjustRightInd w:val="0"/>
              <w:rPr>
                <w:rFonts w:ascii="Calibri Light" w:hAnsi="Calibri Light" w:cs="Arial"/>
                <w:sz w:val="21"/>
                <w:szCs w:val="21"/>
              </w:rPr>
            </w:pPr>
            <w:r w:rsidRPr="00516278">
              <w:rPr>
                <w:rFonts w:ascii="Calibri Light" w:hAnsi="Calibri Light" w:cs="Arial"/>
                <w:sz w:val="21"/>
                <w:szCs w:val="21"/>
              </w:rPr>
              <w:t>Approximately 225 graduates participated at the School of Medicine’s 127th Commencement ceremony on June 3 at the Moody Gardens Convention Center in Galveston. Our medical school has graduated nearly 15,000 students since it opened. Congratulations and good luck to all our new graduates!</w:t>
            </w:r>
          </w:p>
          <w:p w14:paraId="30E5ABFE" w14:textId="77777777" w:rsidR="00516278" w:rsidRDefault="00516278" w:rsidP="00C30B6C">
            <w:pPr>
              <w:widowControl w:val="0"/>
              <w:autoSpaceDE w:val="0"/>
              <w:autoSpaceDN w:val="0"/>
              <w:adjustRightInd w:val="0"/>
              <w:rPr>
                <w:rFonts w:ascii="Calibri Light" w:hAnsi="Calibri Light" w:cs="Arial"/>
                <w:sz w:val="21"/>
                <w:szCs w:val="21"/>
              </w:rPr>
            </w:pPr>
          </w:p>
          <w:p w14:paraId="654CE104" w14:textId="145729C7" w:rsidR="005637B8" w:rsidRPr="005D163A" w:rsidRDefault="00516278"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General compliance training classes</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7F15AB2D" w14:textId="70495BF5" w:rsidR="00804F92" w:rsidRPr="00516278" w:rsidRDefault="00516278" w:rsidP="00804F92">
            <w:pPr>
              <w:widowControl w:val="0"/>
              <w:autoSpaceDE w:val="0"/>
              <w:autoSpaceDN w:val="0"/>
              <w:adjustRightInd w:val="0"/>
              <w:rPr>
                <w:rFonts w:ascii="Calibri Light" w:hAnsi="Calibri Light" w:cs="Times New Roman"/>
                <w:sz w:val="21"/>
                <w:szCs w:val="21"/>
              </w:rPr>
            </w:pPr>
            <w:r w:rsidRPr="00516278">
              <w:rPr>
                <w:rFonts w:ascii="Calibri Light" w:hAnsi="Calibri Light" w:cs="Arial"/>
                <w:sz w:val="21"/>
                <w:szCs w:val="21"/>
              </w:rPr>
              <w:t>The deadline for completing your assigned compliance training for FY17 is Aug. 31. To assist with this annual requirement, classroom sessions of the General Training Review are available on the Galveston Campus:</w:t>
            </w:r>
          </w:p>
          <w:p w14:paraId="736B7AFC" w14:textId="77777777" w:rsidR="00516278" w:rsidRPr="00516278" w:rsidRDefault="00516278" w:rsidP="00516278">
            <w:pPr>
              <w:pStyle w:val="ListParagraph"/>
              <w:numPr>
                <w:ilvl w:val="0"/>
                <w:numId w:val="11"/>
              </w:numPr>
              <w:rPr>
                <w:rFonts w:ascii="Calibri Light" w:hAnsi="Calibri Light"/>
                <w:sz w:val="21"/>
                <w:szCs w:val="21"/>
              </w:rPr>
            </w:pPr>
            <w:r w:rsidRPr="00516278">
              <w:rPr>
                <w:rFonts w:ascii="Calibri Light" w:hAnsi="Calibri Light"/>
                <w:sz w:val="21"/>
                <w:szCs w:val="21"/>
              </w:rPr>
              <w:t>June 15, 8-10:30 a.m., Research Building 6, Room 1.206</w:t>
            </w:r>
          </w:p>
          <w:p w14:paraId="7D5A1991" w14:textId="77777777" w:rsidR="00516278" w:rsidRPr="00516278" w:rsidRDefault="00516278" w:rsidP="00516278">
            <w:pPr>
              <w:pStyle w:val="ListParagraph"/>
              <w:numPr>
                <w:ilvl w:val="0"/>
                <w:numId w:val="11"/>
              </w:numPr>
              <w:rPr>
                <w:rFonts w:ascii="Calibri Light" w:hAnsi="Calibri Light"/>
                <w:sz w:val="21"/>
                <w:szCs w:val="21"/>
              </w:rPr>
            </w:pPr>
            <w:r w:rsidRPr="00516278">
              <w:rPr>
                <w:rFonts w:ascii="Calibri Light" w:hAnsi="Calibri Light"/>
                <w:sz w:val="21"/>
                <w:szCs w:val="21"/>
              </w:rPr>
              <w:t>July 18, 9-11:30 a.m., Research Building 6, Room 1.206</w:t>
            </w:r>
          </w:p>
          <w:p w14:paraId="17286AED" w14:textId="77777777" w:rsidR="00516278" w:rsidRPr="00516278" w:rsidRDefault="00516278" w:rsidP="00516278">
            <w:pPr>
              <w:pStyle w:val="ListParagraph"/>
              <w:numPr>
                <w:ilvl w:val="0"/>
                <w:numId w:val="11"/>
              </w:numPr>
              <w:rPr>
                <w:rFonts w:ascii="Calibri Light" w:hAnsi="Calibri Light"/>
                <w:sz w:val="21"/>
                <w:szCs w:val="21"/>
              </w:rPr>
            </w:pPr>
            <w:r w:rsidRPr="00516278">
              <w:rPr>
                <w:rFonts w:ascii="Calibri Light" w:hAnsi="Calibri Light"/>
                <w:sz w:val="21"/>
                <w:szCs w:val="21"/>
              </w:rPr>
              <w:t>Aug. 10, 2-4:30 p.m., Research Building 6, Room 1.206 </w:t>
            </w:r>
          </w:p>
          <w:p w14:paraId="00FC2CBC" w14:textId="55E01679" w:rsidR="005637B8" w:rsidRPr="00516278" w:rsidRDefault="00516278" w:rsidP="00516278">
            <w:pPr>
              <w:rPr>
                <w:rFonts w:ascii="Calibri Light" w:hAnsi="Calibri Light"/>
                <w:sz w:val="21"/>
                <w:szCs w:val="21"/>
              </w:rPr>
            </w:pPr>
            <w:r w:rsidRPr="00516278">
              <w:rPr>
                <w:rFonts w:ascii="Calibri Light" w:hAnsi="Calibri Light"/>
                <w:sz w:val="21"/>
                <w:szCs w:val="21"/>
              </w:rPr>
              <w:t>The instructor-led classes are offered as an alternative to the </w:t>
            </w:r>
            <w:hyperlink r:id="rId14" w:history="1">
              <w:r w:rsidRPr="00516278">
                <w:rPr>
                  <w:rFonts w:ascii="Calibri Light" w:hAnsi="Calibri Light"/>
                  <w:color w:val="FF0000"/>
                  <w:sz w:val="21"/>
                  <w:szCs w:val="21"/>
                  <w:u w:val="single"/>
                </w:rPr>
                <w:t>Enterprise Learning Management (ELM) online courses</w:t>
              </w:r>
            </w:hyperlink>
            <w:r w:rsidRPr="00516278">
              <w:rPr>
                <w:rFonts w:ascii="Calibri Light" w:hAnsi="Calibri Light"/>
                <w:sz w:val="21"/>
                <w:szCs w:val="21"/>
              </w:rPr>
              <w:t xml:space="preserve"> and cover </w:t>
            </w:r>
            <w:r w:rsidR="00885721">
              <w:rPr>
                <w:rFonts w:ascii="Calibri Light" w:hAnsi="Calibri Light"/>
                <w:sz w:val="21"/>
                <w:szCs w:val="21"/>
              </w:rPr>
              <w:t>general compliance, HIPA</w:t>
            </w:r>
            <w:r w:rsidRPr="00516278">
              <w:rPr>
                <w:rFonts w:ascii="Calibri Light" w:hAnsi="Calibri Light"/>
                <w:sz w:val="21"/>
                <w:szCs w:val="21"/>
              </w:rPr>
              <w:t>A, sexual harassment, equal employment opportunity law, information protection, fire safety and threatening situations. No registration is needed.</w:t>
            </w:r>
          </w:p>
          <w:p w14:paraId="1BF15659" w14:textId="77777777" w:rsidR="00516278" w:rsidRDefault="00516278" w:rsidP="00516278">
            <w:pPr>
              <w:widowControl w:val="0"/>
              <w:autoSpaceDE w:val="0"/>
              <w:autoSpaceDN w:val="0"/>
              <w:adjustRightInd w:val="0"/>
              <w:rPr>
                <w:rFonts w:ascii="Calibri Light" w:hAnsi="Calibri Light" w:cs="Arial"/>
                <w:sz w:val="21"/>
                <w:szCs w:val="21"/>
              </w:rPr>
            </w:pPr>
          </w:p>
          <w:p w14:paraId="1773D06F" w14:textId="3DFDA5F9" w:rsidR="005637B8" w:rsidRPr="005D163A" w:rsidRDefault="00516278"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Reminder—Emergency form deadline</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33D5B003" w14:textId="401DEEE5" w:rsidR="005637B8" w:rsidRPr="00516278" w:rsidRDefault="00516278" w:rsidP="00804F92">
            <w:pPr>
              <w:widowControl w:val="0"/>
              <w:autoSpaceDE w:val="0"/>
              <w:autoSpaceDN w:val="0"/>
              <w:adjustRightInd w:val="0"/>
              <w:rPr>
                <w:rFonts w:ascii="Calibri Light" w:hAnsi="Calibri Light" w:cs="Arial"/>
                <w:sz w:val="21"/>
                <w:szCs w:val="21"/>
              </w:rPr>
            </w:pPr>
            <w:r w:rsidRPr="00516278">
              <w:rPr>
                <w:rFonts w:ascii="Calibri Light" w:hAnsi="Calibri Light" w:cs="Arial"/>
                <w:sz w:val="21"/>
                <w:szCs w:val="21"/>
              </w:rPr>
              <w:t>The institutional deadline to complete the </w:t>
            </w:r>
            <w:hyperlink r:id="rId15" w:history="1">
              <w:r w:rsidRPr="00D078F8">
                <w:rPr>
                  <w:rFonts w:ascii="Calibri Light" w:hAnsi="Calibri Light" w:cs="Arial"/>
                  <w:color w:val="FF0000"/>
                  <w:sz w:val="21"/>
                  <w:szCs w:val="21"/>
                  <w:u w:val="single" w:color="813B5F"/>
                </w:rPr>
                <w:t>2017 Emergency Classification and Acknowledgement Form</w:t>
              </w:r>
            </w:hyperlink>
            <w:r w:rsidRPr="00516278">
              <w:rPr>
                <w:rFonts w:ascii="Calibri Light" w:hAnsi="Calibri Light" w:cs="Arial"/>
                <w:sz w:val="21"/>
                <w:szCs w:val="21"/>
              </w:rPr>
              <w:t> is June 30. If you have not already done so, please take a few minutes today to fill out this form. The information collected will be used by your supervisor or faculty advisor to designate your status during emergencies. To access the form, go to </w:t>
            </w:r>
            <w:hyperlink r:id="rId16" w:history="1">
              <w:r w:rsidRPr="00D078F8">
                <w:rPr>
                  <w:rFonts w:ascii="Calibri Light" w:hAnsi="Calibri Light" w:cs="Arial"/>
                  <w:color w:val="FF0000"/>
                  <w:sz w:val="21"/>
                  <w:szCs w:val="21"/>
                  <w:u w:val="single" w:color="813B5F"/>
                </w:rPr>
                <w:t>https://hr.utmb.edu/relations/emergency/</w:t>
              </w:r>
            </w:hyperlink>
            <w:r w:rsidRPr="00D078F8">
              <w:rPr>
                <w:rFonts w:ascii="Calibri Light" w:hAnsi="Calibri Light" w:cs="Arial"/>
                <w:color w:val="FF0000"/>
                <w:sz w:val="21"/>
                <w:szCs w:val="21"/>
              </w:rPr>
              <w:t>.</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2E659812" w14:textId="04774807" w:rsidR="00804F92" w:rsidRPr="00516278" w:rsidRDefault="00516278" w:rsidP="0058060F">
            <w:pPr>
              <w:rPr>
                <w:rFonts w:asciiTheme="majorHAnsi" w:eastAsia="Times New Roman" w:hAnsiTheme="majorHAnsi" w:cs="Arial"/>
                <w:b/>
                <w:color w:val="000000" w:themeColor="text1"/>
                <w:szCs w:val="20"/>
              </w:rPr>
            </w:pPr>
            <w:r>
              <w:rPr>
                <w:rFonts w:asciiTheme="majorHAnsi" w:hAnsiTheme="majorHAnsi"/>
                <w:noProof/>
                <w:sz w:val="20"/>
              </w:rPr>
              <w:drawing>
                <wp:anchor distT="0" distB="0" distL="114300" distR="114300" simplePos="0" relativeHeight="251759104" behindDoc="0" locked="0" layoutInCell="1" allowOverlap="1" wp14:anchorId="6F12F979" wp14:editId="4ADAA20B">
                  <wp:simplePos x="0" y="0"/>
                  <wp:positionH relativeFrom="column">
                    <wp:posOffset>31504</wp:posOffset>
                  </wp:positionH>
                  <wp:positionV relativeFrom="paragraph">
                    <wp:posOffset>146050</wp:posOffset>
                  </wp:positionV>
                  <wp:extent cx="199390" cy="23241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p>
          <w:p w14:paraId="4BCF3FFE" w14:textId="40876453" w:rsidR="00297C7D" w:rsidRPr="00516278" w:rsidRDefault="00297C7D" w:rsidP="00516278">
            <w:pPr>
              <w:rPr>
                <w:rFonts w:ascii="Calibri Light" w:hAnsi="Calibri Light" w:cs="Arial"/>
                <w:sz w:val="21"/>
                <w:szCs w:val="21"/>
              </w:rPr>
            </w:pPr>
            <w:r>
              <w:rPr>
                <w:rFonts w:asciiTheme="majorHAnsi" w:hAnsiTheme="majorHAnsi"/>
                <w:b/>
              </w:rPr>
              <w:t xml:space="preserve">       </w:t>
            </w:r>
            <w:r w:rsidR="00516278">
              <w:rPr>
                <w:rFonts w:asciiTheme="majorHAnsi" w:hAnsiTheme="majorHAnsi"/>
                <w:b/>
              </w:rPr>
              <w:t xml:space="preserve"> Grants deadline</w:t>
            </w:r>
            <w:r>
              <w:rPr>
                <w:rFonts w:asciiTheme="majorHAnsi" w:hAnsiTheme="majorHAnsi"/>
                <w:b/>
              </w:rPr>
              <w:t>:</w:t>
            </w:r>
            <w:r>
              <w:rPr>
                <w:rFonts w:ascii="Calibri Light" w:hAnsi="Calibri Light" w:cs="Arial"/>
                <w:bCs/>
                <w:color w:val="000000"/>
                <w:sz w:val="20"/>
                <w:szCs w:val="20"/>
              </w:rPr>
              <w:t xml:space="preserve"> </w:t>
            </w:r>
          </w:p>
          <w:p w14:paraId="5A1EEF0C" w14:textId="77777777" w:rsidR="00297C7D" w:rsidRDefault="00516278" w:rsidP="00D078F8">
            <w:pPr>
              <w:widowControl w:val="0"/>
              <w:tabs>
                <w:tab w:val="left" w:pos="220"/>
                <w:tab w:val="left" w:pos="720"/>
              </w:tabs>
              <w:autoSpaceDE w:val="0"/>
              <w:autoSpaceDN w:val="0"/>
              <w:adjustRightInd w:val="0"/>
              <w:rPr>
                <w:rFonts w:ascii="Calibri Light" w:hAnsi="Calibri Light" w:cs="Arial"/>
                <w:sz w:val="21"/>
                <w:szCs w:val="21"/>
              </w:rPr>
            </w:pPr>
            <w:r w:rsidRPr="00516278">
              <w:rPr>
                <w:rFonts w:ascii="Calibri Light" w:hAnsi="Calibri Light" w:cs="Arial"/>
                <w:sz w:val="21"/>
                <w:szCs w:val="21"/>
              </w:rPr>
              <w:t>The </w:t>
            </w:r>
            <w:hyperlink r:id="rId21" w:history="1">
              <w:r w:rsidRPr="00D078F8">
                <w:rPr>
                  <w:rFonts w:ascii="Calibri Light" w:hAnsi="Calibri Light" w:cs="Arial"/>
                  <w:color w:val="FF0000"/>
                  <w:sz w:val="21"/>
                  <w:szCs w:val="21"/>
                  <w:u w:val="single" w:color="0000E9"/>
                </w:rPr>
                <w:t>John Sealy Memorial Endowment Fund for Biomedical Research</w:t>
              </w:r>
            </w:hyperlink>
            <w:r w:rsidRPr="00516278">
              <w:rPr>
                <w:rFonts w:ascii="Calibri Light" w:hAnsi="Calibri Light" w:cs="Arial"/>
                <w:sz w:val="21"/>
                <w:szCs w:val="21"/>
              </w:rPr>
              <w:t xml:space="preserve"> is accepting applications for the Bridging Grant Program and Data Acquisition Grant Program. The </w:t>
            </w:r>
            <w:r w:rsidRPr="00D078F8">
              <w:rPr>
                <w:rFonts w:ascii="Calibri" w:hAnsi="Calibri" w:cs="Arial"/>
                <w:b/>
                <w:bCs/>
                <w:sz w:val="21"/>
                <w:szCs w:val="21"/>
              </w:rPr>
              <w:t>Bridging Grant Program</w:t>
            </w:r>
            <w:r w:rsidR="00D078F8">
              <w:rPr>
                <w:rFonts w:ascii="Calibri Light" w:hAnsi="Calibri Light" w:cs="Arial"/>
                <w:sz w:val="21"/>
                <w:szCs w:val="21"/>
              </w:rPr>
              <w:t xml:space="preserve"> aims to assist UTMB i</w:t>
            </w:r>
            <w:r w:rsidRPr="00516278">
              <w:rPr>
                <w:rFonts w:ascii="Calibri Light" w:hAnsi="Calibri Light" w:cs="Arial"/>
                <w:sz w:val="21"/>
                <w:szCs w:val="21"/>
              </w:rPr>
              <w:t>nvestigators with unfunded federal grant applications with a project period greater than two years that have received favorable reviews and scores, and are eligible for resubmission. The original application must have received a priority score and/or been ranked in the top 50</w:t>
            </w:r>
            <w:r w:rsidR="00D078F8">
              <w:rPr>
                <w:rFonts w:ascii="Calibri Light" w:hAnsi="Calibri Light" w:cs="Arial"/>
                <w:sz w:val="21"/>
                <w:szCs w:val="21"/>
              </w:rPr>
              <w:t xml:space="preserve"> percent</w:t>
            </w:r>
            <w:r w:rsidRPr="00516278">
              <w:rPr>
                <w:rFonts w:ascii="Calibri Light" w:hAnsi="Calibri Light" w:cs="Arial"/>
                <w:sz w:val="21"/>
                <w:szCs w:val="21"/>
              </w:rPr>
              <w:t xml:space="preserve"> for the agency. The program will provide a limited amount of funding for one year in order to allow the investigator to carry out the work necessary for submission of a fundable grant application. The </w:t>
            </w:r>
            <w:r w:rsidRPr="00D078F8">
              <w:rPr>
                <w:rFonts w:ascii="Calibri" w:hAnsi="Calibri" w:cs="Arial"/>
                <w:b/>
                <w:bCs/>
                <w:sz w:val="21"/>
                <w:szCs w:val="21"/>
              </w:rPr>
              <w:t xml:space="preserve">Data Acquisition Grant Program </w:t>
            </w:r>
            <w:r w:rsidRPr="00516278">
              <w:rPr>
                <w:rFonts w:ascii="Calibri Light" w:hAnsi="Calibri Light" w:cs="Arial"/>
                <w:sz w:val="21"/>
                <w:szCs w:val="21"/>
              </w:rPr>
              <w:t>is designed to stimulate the development of new research initiatives through the support of projects that have a very high probability of attracting new biomedical research grants to UTMB. Data Acquisition Grants will not supplement or replace externally funded research projects. Reviewers will critically evaluate proposals for scientific merit and the potential to attract new funding. Applications for both grant programs are due June 30 by 5 p.m. For information or answers to specific questions, visit </w:t>
            </w:r>
            <w:hyperlink r:id="rId22" w:history="1">
              <w:r w:rsidRPr="00D078F8">
                <w:rPr>
                  <w:rFonts w:ascii="Calibri Light" w:hAnsi="Calibri Light" w:cs="Arial"/>
                  <w:color w:val="FF0000"/>
                  <w:sz w:val="21"/>
                  <w:szCs w:val="21"/>
                  <w:u w:val="single" w:color="0000E9"/>
                </w:rPr>
                <w:t>https://www.utmb.edu/research/sponsored-programs/find-funding/john-sealy-memorial-endowment-fund</w:t>
              </w:r>
            </w:hyperlink>
            <w:r w:rsidRPr="00516278">
              <w:rPr>
                <w:rFonts w:ascii="Calibri Light" w:hAnsi="Calibri Light" w:cs="Arial"/>
                <w:sz w:val="21"/>
                <w:szCs w:val="21"/>
              </w:rPr>
              <w:t> or contact </w:t>
            </w:r>
            <w:hyperlink r:id="rId23" w:history="1">
              <w:r w:rsidRPr="00D078F8">
                <w:rPr>
                  <w:rFonts w:ascii="Calibri Light" w:hAnsi="Calibri Light" w:cs="Arial"/>
                  <w:color w:val="FF0000"/>
                  <w:sz w:val="21"/>
                  <w:szCs w:val="21"/>
                  <w:u w:val="single" w:color="0000E9"/>
                </w:rPr>
                <w:t>Ericia Huff</w:t>
              </w:r>
            </w:hyperlink>
            <w:r w:rsidRPr="00D078F8">
              <w:rPr>
                <w:rFonts w:ascii="Calibri Light" w:hAnsi="Calibri Light" w:cs="Arial"/>
                <w:color w:val="FF0000"/>
                <w:sz w:val="21"/>
                <w:szCs w:val="21"/>
              </w:rPr>
              <w:t xml:space="preserve">, </w:t>
            </w:r>
            <w:r w:rsidRPr="00516278">
              <w:rPr>
                <w:rFonts w:ascii="Calibri Light" w:hAnsi="Calibri Light" w:cs="Arial"/>
                <w:sz w:val="21"/>
                <w:szCs w:val="21"/>
              </w:rPr>
              <w:t>409-266-9433 or </w:t>
            </w:r>
            <w:hyperlink r:id="rId24" w:history="1">
              <w:r w:rsidRPr="00D078F8">
                <w:rPr>
                  <w:rFonts w:ascii="Calibri Light" w:hAnsi="Calibri Light" w:cs="Arial"/>
                  <w:color w:val="FF0000"/>
                  <w:sz w:val="21"/>
                  <w:szCs w:val="21"/>
                  <w:u w:val="single" w:color="0000E9"/>
                </w:rPr>
                <w:t>ehuff@utmb.edu</w:t>
              </w:r>
            </w:hyperlink>
            <w:r w:rsidRPr="00516278">
              <w:rPr>
                <w:rFonts w:ascii="Calibri Light" w:hAnsi="Calibri Light" w:cs="Arial"/>
                <w:sz w:val="21"/>
                <w:szCs w:val="21"/>
              </w:rPr>
              <w:t> or Dr. Nisha Garg, </w:t>
            </w:r>
            <w:hyperlink r:id="rId25" w:history="1">
              <w:r w:rsidRPr="00D078F8">
                <w:rPr>
                  <w:rFonts w:ascii="Calibri Light" w:hAnsi="Calibri Light" w:cs="Arial"/>
                  <w:color w:val="FF0000"/>
                  <w:sz w:val="21"/>
                  <w:szCs w:val="21"/>
                  <w:u w:val="single" w:color="0000E9"/>
                </w:rPr>
                <w:t>nigarg@utmb.edu</w:t>
              </w:r>
            </w:hyperlink>
            <w:r w:rsidRPr="00516278">
              <w:rPr>
                <w:rFonts w:ascii="Calibri Light" w:hAnsi="Calibri Light" w:cs="Arial"/>
                <w:sz w:val="21"/>
                <w:szCs w:val="21"/>
              </w:rPr>
              <w:t>.</w:t>
            </w:r>
          </w:p>
          <w:p w14:paraId="6FC58107" w14:textId="329F5D15" w:rsidR="00360B73" w:rsidRDefault="00360B73" w:rsidP="00D078F8">
            <w:pPr>
              <w:widowControl w:val="0"/>
              <w:tabs>
                <w:tab w:val="left" w:pos="220"/>
                <w:tab w:val="left" w:pos="720"/>
              </w:tabs>
              <w:autoSpaceDE w:val="0"/>
              <w:autoSpaceDN w:val="0"/>
              <w:adjustRightInd w:val="0"/>
              <w:rPr>
                <w:rFonts w:ascii="Calibri Light" w:hAnsi="Calibri Light" w:cs="Arial"/>
                <w:sz w:val="21"/>
                <w:szCs w:val="21"/>
              </w:rPr>
            </w:pPr>
            <w:r>
              <w:rPr>
                <w:rFonts w:asciiTheme="majorHAnsi" w:hAnsiTheme="majorHAnsi"/>
                <w:noProof/>
                <w:sz w:val="20"/>
              </w:rPr>
              <w:drawing>
                <wp:anchor distT="0" distB="0" distL="114300" distR="114300" simplePos="0" relativeHeight="251761152" behindDoc="0" locked="0" layoutInCell="1" allowOverlap="1" wp14:anchorId="1B764C85" wp14:editId="182D054E">
                  <wp:simplePos x="0" y="0"/>
                  <wp:positionH relativeFrom="column">
                    <wp:posOffset>1270</wp:posOffset>
                  </wp:positionH>
                  <wp:positionV relativeFrom="paragraph">
                    <wp:posOffset>69215</wp:posOffset>
                  </wp:positionV>
                  <wp:extent cx="199390" cy="23241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p>
          <w:p w14:paraId="06F3CDA7" w14:textId="6E8D0255" w:rsidR="00360B73" w:rsidRPr="00516278" w:rsidRDefault="00360B73" w:rsidP="00360B73">
            <w:pPr>
              <w:rPr>
                <w:rFonts w:ascii="Calibri Light" w:hAnsi="Calibri Light" w:cs="Arial"/>
                <w:sz w:val="21"/>
                <w:szCs w:val="21"/>
              </w:rPr>
            </w:pPr>
            <w:r>
              <w:rPr>
                <w:rFonts w:asciiTheme="majorHAnsi" w:hAnsiTheme="majorHAnsi"/>
                <w:b/>
              </w:rPr>
              <w:t xml:space="preserve">       Shine Academy application deadline:</w:t>
            </w:r>
            <w:r>
              <w:rPr>
                <w:rFonts w:ascii="Calibri Light" w:hAnsi="Calibri Light" w:cs="Arial"/>
                <w:bCs/>
                <w:color w:val="000000"/>
                <w:sz w:val="20"/>
                <w:szCs w:val="20"/>
              </w:rPr>
              <w:t xml:space="preserve"> </w:t>
            </w:r>
          </w:p>
          <w:p w14:paraId="762DC59C" w14:textId="72EF43B2" w:rsidR="00360B73" w:rsidRPr="00360B73" w:rsidRDefault="00360B73" w:rsidP="00360B73">
            <w:pPr>
              <w:widowControl w:val="0"/>
              <w:autoSpaceDE w:val="0"/>
              <w:autoSpaceDN w:val="0"/>
              <w:adjustRightInd w:val="0"/>
              <w:rPr>
                <w:rFonts w:ascii="Calibri Light" w:hAnsi="Calibri Light" w:cs="Calibri"/>
                <w:sz w:val="21"/>
                <w:szCs w:val="21"/>
              </w:rPr>
            </w:pPr>
            <w:r w:rsidRPr="00360B73">
              <w:rPr>
                <w:rFonts w:ascii="Calibri Light" w:hAnsi="Calibri Light" w:cs="Calibri"/>
                <w:sz w:val="21"/>
                <w:szCs w:val="21"/>
              </w:rPr>
              <w:t>The University of Texas System Kenneth I. Shine M.D., Academy of Health Science Education (</w:t>
            </w:r>
            <w:r>
              <w:rPr>
                <w:rFonts w:ascii="Calibri Light" w:hAnsi="Calibri Light" w:cs="Calibri"/>
                <w:sz w:val="21"/>
                <w:szCs w:val="21"/>
              </w:rPr>
              <w:t>Shine Academy) a</w:t>
            </w:r>
            <w:r w:rsidRPr="00360B73">
              <w:rPr>
                <w:rFonts w:ascii="Calibri Light" w:hAnsi="Calibri Light" w:cs="Calibri"/>
                <w:sz w:val="21"/>
                <w:szCs w:val="21"/>
              </w:rPr>
              <w:t>pplicant deadline is June 12. Accomplished</w:t>
            </w:r>
            <w:r>
              <w:rPr>
                <w:rFonts w:ascii="Calibri Light" w:hAnsi="Calibri Light" w:cs="Calibri"/>
                <w:sz w:val="21"/>
                <w:szCs w:val="21"/>
              </w:rPr>
              <w:t>,</w:t>
            </w:r>
            <w:r w:rsidRPr="00360B73">
              <w:rPr>
                <w:rFonts w:ascii="Calibri Light" w:hAnsi="Calibri Light" w:cs="Calibri"/>
                <w:sz w:val="21"/>
                <w:szCs w:val="21"/>
              </w:rPr>
              <w:t xml:space="preserve"> education-focused faculty in all four UTMB schools are encouraged to review the application instructions and the required application form at </w:t>
            </w:r>
            <w:hyperlink r:id="rId26" w:history="1">
              <w:r w:rsidRPr="00360B73">
                <w:rPr>
                  <w:rFonts w:ascii="Calibri Light" w:hAnsi="Calibri Light" w:cs="Calibri"/>
                  <w:color w:val="FF0000"/>
                  <w:sz w:val="21"/>
                  <w:szCs w:val="21"/>
                  <w:u w:val="single" w:color="0B4CB4"/>
                </w:rPr>
                <w:t>https://www.utmb.edu/amt/</w:t>
              </w:r>
            </w:hyperlink>
            <w:r w:rsidRPr="00360B73">
              <w:rPr>
                <w:rFonts w:ascii="Calibri Light" w:hAnsi="Calibri Light" w:cs="Calibri"/>
                <w:sz w:val="21"/>
                <w:szCs w:val="21"/>
              </w:rPr>
              <w:t xml:space="preserve">. Information about the UT Shine Academy is available at </w:t>
            </w:r>
            <w:hyperlink r:id="rId27" w:history="1">
              <w:r w:rsidRPr="00360B73">
                <w:rPr>
                  <w:rFonts w:ascii="Calibri Light" w:hAnsi="Calibri Light" w:cs="Calibri"/>
                  <w:color w:val="FF0000"/>
                  <w:sz w:val="21"/>
                  <w:szCs w:val="21"/>
                  <w:u w:val="single" w:color="0B4CB4"/>
                </w:rPr>
                <w:t>https://www.utsystem.edu/academy/hse/</w:t>
              </w:r>
            </w:hyperlink>
            <w:r w:rsidRPr="00360B73">
              <w:rPr>
                <w:rFonts w:ascii="Calibri Light" w:hAnsi="Calibri Light" w:cs="Calibri"/>
                <w:sz w:val="21"/>
                <w:szCs w:val="21"/>
              </w:rPr>
              <w:t>.</w:t>
            </w:r>
          </w:p>
        </w:tc>
        <w:tc>
          <w:tcPr>
            <w:tcW w:w="5940" w:type="dxa"/>
            <w:gridSpan w:val="2"/>
            <w:tcBorders>
              <w:left w:val="single" w:sz="4" w:space="0" w:color="auto"/>
              <w:right w:val="single" w:sz="8" w:space="0" w:color="auto"/>
            </w:tcBorders>
            <w:shd w:val="clear" w:color="auto" w:fill="FFFFFF" w:themeFill="background1"/>
          </w:tcPr>
          <w:p w14:paraId="18380013" w14:textId="74BC6E51" w:rsidR="005458B9" w:rsidRPr="00C30B6C" w:rsidRDefault="005458B9" w:rsidP="005E2DA1">
            <w:pPr>
              <w:spacing w:before="120"/>
              <w:rPr>
                <w:rFonts w:ascii="Calibri Light" w:hAnsi="Calibri Light" w:cs="Arial"/>
                <w:color w:val="000000"/>
                <w:sz w:val="21"/>
                <w:szCs w:val="21"/>
              </w:rPr>
            </w:pP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641ED06F" w:rsidR="00516278" w:rsidRPr="00D078F8" w:rsidRDefault="00516278" w:rsidP="00D078F8">
            <w:pPr>
              <w:rPr>
                <w:rFonts w:ascii="Calibri Light" w:hAnsi="Calibri Light" w:cs="Arial"/>
                <w:sz w:val="19"/>
                <w:szCs w:val="19"/>
              </w:rPr>
            </w:pPr>
            <w:r w:rsidRPr="00D078F8">
              <w:rPr>
                <w:rFonts w:ascii="Calibri Light" w:hAnsi="Calibri Light" w:cs="Arial"/>
                <w:sz w:val="19"/>
                <w:szCs w:val="19"/>
              </w:rPr>
              <w:t>Since 2010, UTMB has had an institutional performance scorecard with metrics to measure organizational success. This disciplined process has been instrumental in our financial success and in UTMB’s strategic growth. The scorecards are based on </w:t>
            </w:r>
            <w:r w:rsidRPr="00D078F8">
              <w:rPr>
                <w:rFonts w:ascii="Calibri Light" w:hAnsi="Calibri Light" w:cs="Arial"/>
                <w:color w:val="000000" w:themeColor="text1"/>
                <w:sz w:val="19"/>
                <w:szCs w:val="19"/>
              </w:rPr>
              <w:t>The Road Ahead Strategic Vision</w:t>
            </w:r>
            <w:r w:rsidR="00D078F8">
              <w:rPr>
                <w:rFonts w:ascii="Calibri Light" w:hAnsi="Calibri Light" w:cs="Arial"/>
                <w:color w:val="000000" w:themeColor="text1"/>
                <w:sz w:val="19"/>
                <w:szCs w:val="19"/>
              </w:rPr>
              <w:t xml:space="preserve"> (</w:t>
            </w:r>
            <w:hyperlink r:id="rId28" w:history="1">
              <w:r w:rsidR="00D078F8" w:rsidRPr="00D078F8">
                <w:rPr>
                  <w:rStyle w:val="Hyperlink"/>
                  <w:rFonts w:ascii="Calibri Light" w:hAnsi="Calibri Light" w:cs="Arial"/>
                  <w:sz w:val="19"/>
                  <w:szCs w:val="19"/>
                </w:rPr>
                <w:t>https://www.utmb.edu/strategic_vision/</w:t>
              </w:r>
            </w:hyperlink>
            <w:r w:rsidR="00D078F8">
              <w:rPr>
                <w:rFonts w:ascii="Calibri Light" w:hAnsi="Calibri Light" w:cs="Arial"/>
                <w:color w:val="000000" w:themeColor="text1"/>
                <w:sz w:val="19"/>
                <w:szCs w:val="19"/>
              </w:rPr>
              <w:t xml:space="preserve">), </w:t>
            </w:r>
            <w:r w:rsidRPr="00D078F8">
              <w:rPr>
                <w:rFonts w:ascii="Calibri Light" w:hAnsi="Calibri Light" w:cs="Arial"/>
                <w:sz w:val="19"/>
                <w:szCs w:val="19"/>
              </w:rPr>
              <w:t xml:space="preserve">and the major entities at UTMB are required to develop annual scorecards that are in alignment with The Road Ahead. The </w:t>
            </w:r>
            <w:r w:rsidR="00D078F8">
              <w:rPr>
                <w:rFonts w:ascii="Calibri Light" w:hAnsi="Calibri Light" w:cs="Arial"/>
                <w:sz w:val="19"/>
                <w:szCs w:val="19"/>
              </w:rPr>
              <w:t>scorecards include</w:t>
            </w:r>
            <w:r w:rsidRPr="00D078F8">
              <w:rPr>
                <w:rFonts w:ascii="Calibri Light" w:hAnsi="Calibri Light" w:cs="Arial"/>
                <w:sz w:val="19"/>
                <w:szCs w:val="19"/>
              </w:rPr>
              <w:t>: 1) the Institutional (enterprise wide) scorecard, Academic Enterprise, Graduate School of Biomedical Sciences, School of Health Professions, School of Nursing, Business and Finance</w:t>
            </w:r>
            <w:r w:rsidR="00D078F8">
              <w:rPr>
                <w:rFonts w:ascii="Calibri Light" w:hAnsi="Calibri Light" w:cs="Arial"/>
                <w:sz w:val="19"/>
                <w:szCs w:val="19"/>
              </w:rPr>
              <w:t>,</w:t>
            </w:r>
            <w:r w:rsidRPr="00D078F8">
              <w:rPr>
                <w:rFonts w:ascii="Calibri Light" w:hAnsi="Calibri Light" w:cs="Arial"/>
                <w:sz w:val="19"/>
                <w:szCs w:val="19"/>
              </w:rPr>
              <w:t xml:space="preserve"> and Health System. </w:t>
            </w:r>
            <w:r w:rsidR="00D078F8">
              <w:rPr>
                <w:rFonts w:ascii="Calibri Light" w:hAnsi="Calibri Light" w:cs="Arial"/>
                <w:sz w:val="19"/>
                <w:szCs w:val="19"/>
              </w:rPr>
              <w:t xml:space="preserve">The scorecards are available at </w:t>
            </w:r>
            <w:hyperlink r:id="rId29" w:history="1">
              <w:r w:rsidR="00D078F8" w:rsidRPr="00D078F8">
                <w:rPr>
                  <w:rStyle w:val="Hyperlink"/>
                  <w:rFonts w:ascii="Calibri Light" w:hAnsi="Calibri Light" w:cs="Arial"/>
                  <w:color w:val="FF0000"/>
                  <w:sz w:val="19"/>
                  <w:szCs w:val="19"/>
                </w:rPr>
                <w:t>https://www.utmb.edu/osm/strategic-plans/scorecards-and-strategic-plans</w:t>
              </w:r>
            </w:hyperlink>
            <w:r w:rsidR="00D078F8">
              <w:rPr>
                <w:rFonts w:ascii="Calibri Light" w:hAnsi="Calibri Light" w:cs="Arial"/>
                <w:sz w:val="19"/>
                <w:szCs w:val="19"/>
              </w:rPr>
              <w:t xml:space="preserve">. </w:t>
            </w:r>
            <w:r w:rsidRPr="00D078F8">
              <w:rPr>
                <w:rFonts w:ascii="Calibri Light" w:hAnsi="Calibri Light" w:cs="Arial"/>
                <w:sz w:val="19"/>
                <w:szCs w:val="19"/>
              </w:rPr>
              <w:t xml:space="preserve">Executive leadership meets four times a year to review goal progress, alignment, strategic challenges and adjust strategies as required. For more information, visit </w:t>
            </w:r>
            <w:hyperlink r:id="rId30" w:history="1">
              <w:r w:rsidRPr="00D078F8">
                <w:rPr>
                  <w:rFonts w:ascii="Calibri Light" w:hAnsi="Calibri Light" w:cs="Arial"/>
                  <w:color w:val="FF0000"/>
                  <w:sz w:val="19"/>
                  <w:szCs w:val="19"/>
                  <w:u w:val="single" w:color="0000E9"/>
                </w:rPr>
                <w:t>https://www.utmb.edu/osm/home</w:t>
              </w:r>
            </w:hyperlink>
            <w:r w:rsidRPr="00D078F8">
              <w:rPr>
                <w:rFonts w:ascii="Calibri Light" w:hAnsi="Calibri Light" w:cs="Arial"/>
                <w:color w:val="FF0000"/>
                <w:sz w:val="19"/>
                <w:szCs w:val="19"/>
              </w:rPr>
              <w:t>.</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8E89A" w14:textId="77777777" w:rsidR="00DE2631" w:rsidRDefault="00DE2631" w:rsidP="00874B86">
      <w:r>
        <w:separator/>
      </w:r>
    </w:p>
  </w:endnote>
  <w:endnote w:type="continuationSeparator" w:id="0">
    <w:p w14:paraId="4FA36692" w14:textId="77777777" w:rsidR="00DE2631" w:rsidRDefault="00DE263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1CDB0" w14:textId="77777777" w:rsidR="00DE2631" w:rsidRDefault="00DE2631" w:rsidP="00874B86">
      <w:r>
        <w:separator/>
      </w:r>
    </w:p>
  </w:footnote>
  <w:footnote w:type="continuationSeparator" w:id="0">
    <w:p w14:paraId="63EAFF38" w14:textId="77777777" w:rsidR="00DE2631" w:rsidRDefault="00DE263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B668A">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1"/>
  </w:num>
  <w:num w:numId="6">
    <w:abstractNumId w:val="2"/>
  </w:num>
  <w:num w:numId="7">
    <w:abstractNumId w:val="3"/>
  </w:num>
  <w:num w:numId="8">
    <w:abstractNumId w:val="10"/>
  </w:num>
  <w:num w:numId="9">
    <w:abstractNumId w:val="5"/>
  </w:num>
  <w:num w:numId="10">
    <w:abstractNumId w:val="7"/>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C7D"/>
    <w:rsid w:val="00297EB4"/>
    <w:rsid w:val="002A389B"/>
    <w:rsid w:val="002A43E0"/>
    <w:rsid w:val="002B4013"/>
    <w:rsid w:val="002B6F31"/>
    <w:rsid w:val="002C19C8"/>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7537E"/>
    <w:rsid w:val="0048017F"/>
    <w:rsid w:val="00496356"/>
    <w:rsid w:val="004A2F43"/>
    <w:rsid w:val="004A48A1"/>
    <w:rsid w:val="004A6B9E"/>
    <w:rsid w:val="004B3A59"/>
    <w:rsid w:val="004C1619"/>
    <w:rsid w:val="004C3BE1"/>
    <w:rsid w:val="004C4313"/>
    <w:rsid w:val="004F5E00"/>
    <w:rsid w:val="004F74F1"/>
    <w:rsid w:val="004F7EC6"/>
    <w:rsid w:val="00502D6C"/>
    <w:rsid w:val="005060DE"/>
    <w:rsid w:val="00516278"/>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B668A"/>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93AD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B33"/>
    <w:rsid w:val="00D42C21"/>
    <w:rsid w:val="00D505A2"/>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25F4"/>
    <w:rsid w:val="00E76215"/>
    <w:rsid w:val="00E840C8"/>
    <w:rsid w:val="00E87236"/>
    <w:rsid w:val="00E87D19"/>
    <w:rsid w:val="00EA0165"/>
    <w:rsid w:val="00ED5A3B"/>
    <w:rsid w:val="00ED5C1C"/>
    <w:rsid w:val="00ED6E29"/>
    <w:rsid w:val="00EE0C3F"/>
    <w:rsid w:val="00EE3938"/>
    <w:rsid w:val="00EE4C13"/>
    <w:rsid w:val="00EF556C"/>
    <w:rsid w:val="00F0562E"/>
    <w:rsid w:val="00F106B3"/>
    <w:rsid w:val="00F11ACA"/>
    <w:rsid w:val="00F13FE9"/>
    <w:rsid w:val="00F21CCC"/>
    <w:rsid w:val="00F446B2"/>
    <w:rsid w:val="00F46FF8"/>
    <w:rsid w:val="00F5234B"/>
    <w:rsid w:val="00F610ED"/>
    <w:rsid w:val="00F75CAB"/>
    <w:rsid w:val="00F8146E"/>
    <w:rsid w:val="00F900D9"/>
    <w:rsid w:val="00F90B4D"/>
    <w:rsid w:val="00F91754"/>
    <w:rsid w:val="00F94D61"/>
    <w:rsid w:val="00F9573C"/>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915746235">
      <w:bodyDiv w:val="1"/>
      <w:marLeft w:val="0"/>
      <w:marRight w:val="0"/>
      <w:marTop w:val="0"/>
      <w:marBottom w:val="0"/>
      <w:divBdr>
        <w:top w:val="none" w:sz="0" w:space="0" w:color="auto"/>
        <w:left w:val="none" w:sz="0" w:space="0" w:color="auto"/>
        <w:bottom w:val="none" w:sz="0" w:space="0" w:color="auto"/>
        <w:right w:val="none" w:sz="0" w:space="0" w:color="auto"/>
      </w:divBdr>
    </w:div>
    <w:div w:id="1078555212">
      <w:bodyDiv w:val="1"/>
      <w:marLeft w:val="0"/>
      <w:marRight w:val="0"/>
      <w:marTop w:val="0"/>
      <w:marBottom w:val="0"/>
      <w:divBdr>
        <w:top w:val="none" w:sz="0" w:space="0" w:color="auto"/>
        <w:left w:val="none" w:sz="0" w:space="0" w:color="auto"/>
        <w:bottom w:val="none" w:sz="0" w:space="0" w:color="auto"/>
        <w:right w:val="none" w:sz="0" w:space="0" w:color="auto"/>
      </w:divBdr>
    </w:div>
    <w:div w:id="1647470025">
      <w:bodyDiv w:val="1"/>
      <w:marLeft w:val="0"/>
      <w:marRight w:val="0"/>
      <w:marTop w:val="0"/>
      <w:marBottom w:val="0"/>
      <w:divBdr>
        <w:top w:val="none" w:sz="0" w:space="0" w:color="auto"/>
        <w:left w:val="none" w:sz="0" w:space="0" w:color="auto"/>
        <w:bottom w:val="none" w:sz="0" w:space="0" w:color="auto"/>
        <w:right w:val="none" w:sz="0" w:space="0" w:color="auto"/>
      </w:divBdr>
    </w:div>
    <w:div w:id="175932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transit" TargetMode="External"/><Relationship Id="rId18" Type="http://schemas.openxmlformats.org/officeDocument/2006/relationships/image" Target="media/image5.png"/><Relationship Id="rId26" Type="http://schemas.openxmlformats.org/officeDocument/2006/relationships/hyperlink" Target="https://www.utmb.edu/amt/" TargetMode="External"/><Relationship Id="rId3" Type="http://schemas.openxmlformats.org/officeDocument/2006/relationships/styles" Target="styles.xml"/><Relationship Id="rId21" Type="http://schemas.openxmlformats.org/officeDocument/2006/relationships/hyperlink" Target="https://www.utmb.edu/research/sponsored-programs/find-funding/john-sealy-memorial-endowment-fun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mailto:nigarg@utmb.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utmb.edu/relations/emergency/" TargetMode="External"/><Relationship Id="rId20" Type="http://schemas.openxmlformats.org/officeDocument/2006/relationships/image" Target="media/image7.png"/><Relationship Id="rId29" Type="http://schemas.openxmlformats.org/officeDocument/2006/relationships/hyperlink" Target="https://www.utmb.edu/osm/strategic-plans/scorecards-and-strategic-pl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ehuff@utmb.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forms.utmb.edu/frevvo/web/tn/forms/user/giflynn/app/_2fXwMBYqEeaPsbyOXGb9YQ/flowtype/_QIqGMaQqEeWwb9eqGmEsIw/popupform" TargetMode="External"/><Relationship Id="rId23" Type="http://schemas.openxmlformats.org/officeDocument/2006/relationships/hyperlink" Target="mailto:ehuff@utmb.edu" TargetMode="External"/><Relationship Id="rId28" Type="http://schemas.openxmlformats.org/officeDocument/2006/relationships/hyperlink" Target="https://www.utmb.edu/strategic_vision/"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hr.utmb.edu/tod/elm/" TargetMode="External"/><Relationship Id="rId22" Type="http://schemas.openxmlformats.org/officeDocument/2006/relationships/hyperlink" Target="https://www.utmb.edu/research/sponsored-programs/find-funding/john-sealy-memorial-endowment-fund" TargetMode="External"/><Relationship Id="rId27" Type="http://schemas.openxmlformats.org/officeDocument/2006/relationships/hyperlink" Target="https://www.utsystem.edu/academy/hse/" TargetMode="External"/><Relationship Id="rId30" Type="http://schemas.openxmlformats.org/officeDocument/2006/relationships/hyperlink" Target="https://www.utmb.edu/osm/hom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C649-6353-4145-B5AA-5C5B507F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2017-06-08T18:52:00Z</cp:lastPrinted>
  <dcterms:created xsi:type="dcterms:W3CDTF">2017-06-13T19:04:00Z</dcterms:created>
  <dcterms:modified xsi:type="dcterms:W3CDTF">2017-06-13T19:11:00Z</dcterms:modified>
</cp:coreProperties>
</file>